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391</w:t>
      </w:r>
    </w:p>
    <w:p>
      <w:r>
        <w:t>Bundesgericht (BGE), 2013-07-31, FR</w:t>
      </w:r>
    </w:p>
    <w:p>
      <w:r>
        <w:rPr>
          <w:b/>
        </w:rPr>
        <w:t xml:space="preserve">Quelle: </w:t>
      </w:r>
      <w:r>
        <w:t>https://mcp.opencaselaw.ch/entscheid/bge_139 III 391</w:t>
      </w:r>
    </w:p>
    <w:p>
      <w:r>
        <w:t>FR: ATF 139 III 391</w:t>
      </w:r>
    </w:p>
    <w:p>
      <w:r>
        <w:t>IT: DTF 139 III 391</w:t>
      </w:r>
    </w:p>
    <w:p>
      <w:pPr>
        <w:pStyle w:val="Heading2"/>
      </w:pPr>
      <w:r>
        <w:t>Regeste</w:t>
      </w:r>
    </w:p>
    <w:p>
      <w:r>
        <w:t>Regeste Art. 260 SchKG; Prozessführungsbefugnis des Abtretungsgläubigers. Obwohl der Abtretungsgläubiger gemäss Art. 260 SchKG nicht Inhaber des materiellen Forderungsrechtes wird, sondern dieses weiterhin der Masse zusteht, kann er auf Verurteilung des Beklagten zu direkter Zahlung zu seinen Gunsten schliessen (E. 5).</w:t>
      </w:r>
    </w:p>
    <w:p>
      <w:pPr>
        <w:pStyle w:val="Heading2"/>
      </w:pPr>
      <w:r>
        <w:t>Erwägungen</w:t>
      </w:r>
    </w:p>
    <w:p>
      <w:r>
        <w:rPr>
          <w:b/>
        </w:rPr>
        <w:t>E. 5</w:t>
      </w:r>
    </w:p>
    <w:p>
      <w:r>
        <w:t>Enfin, les recourants soutiennent que le cessionnaire des droits de la masse ( art. 260 LP ) ne se voit céder que la qualité pour agir et que, par conséquent, il ne pourrait pas réclamer la restitution en sa faveur, mais seulement en faveur de la masse en faillite. Ils en concluent que les conclusions de la demanderesse seraient irrecevables.</w:t>
      </w:r>
    </w:p>
    <w:p>
      <w:r>
        <w:rPr>
          <w:b/>
        </w:rPr>
        <w:t>E. 5.1</w:t>
      </w:r>
    </w:p>
    <w:p>
      <w:r>
        <w:t>Selon la jurisprudence, le créancier qui a obtenu la cession des droits de la masse en application de l' art. 260 LP agit en lieu et place de la masse ( Prozessführungsbefugnis ou Prozessstandschaft ), en son propre nom, pour son propre compte et à ses risques et périls, selon le texte de la formule obligatoire 7F (art. 2 ch. 6 et 80 de l'ordonnance du 13 juillet 1911 sur l'administration des offices de faillite [OAOF; RS 281.32] ou de la formule établie par l'office, laquelle doit correspondre, pour ce qui est de son contenu, à la formule obligatoire (art. 2 al. 2 de l'ordonnance du 5 juin 1996 sur les formulaires et registres à employer en matière de poursuite pour dettes et de faillite et sur la comptabilité [Oform; RS 281.31], mais il ne devient pas le titulaire de la prétention de droit matériel qui continue d'appartenir à la masse ( ATF 113 III 135 consid. 3a; ATF 121 III 488 consid. 2; ATF 122 III 488 consid. 3b; ATF 132 III 342 consid. 2.2). La formule 7F précise notamment, parmi les conditions auxquelles le créancier cessionnaire est autorisé à poursuivre la réalisation des droits faisant l'objet de la cession, que "[l]e créancier cessionnaire devra aviser l'administration de la faillite du résultat obtenu judiciairement ou à l'amiable, et cela sans retard et en y joignant les pièces justificatives", et que "[l]a somme d'argent obtenue judiciairement ou à BGE 139 III 391 S. 395 l'amiable peut être employée par le créancier cessionnaire, après paiement des frais, à couvrir sa créance; l'excédent éventuel sera remis à la masse" (cf. aussi art. 757 al. 2, 2 e et 3 e phrases, CO). Selon la jurisprudence, si le créancier cessionnaire a ainsi un devoir d'information et des devoirs quant à l'utilisation du gain du procès, rien ne l'empêche de conclure à la condamnation du défendeur de payer directement en ses mains (arrêts 4A_210/2010 du 1 er octobre 2010 consid. 7.2.2, non publié in ATF 136 III 502 ; 4A_ 174/2007 du 13 septembre 2007 consid. 3.3), comme cela est d'ailleurs usuel dans la pratique (cf. entre autres ATF 132 III 564 let. C p. 567; ATF 122 III 195 let. B p. 197; ATF 117 II 432 let. C p. 434).</w:t>
      </w:r>
    </w:p>
    <w:p>
      <w:r>
        <w:rPr>
          <w:b/>
        </w:rPr>
        <w:t>E. 5.2</w:t>
      </w:r>
    </w:p>
    <w:p>
      <w:r>
        <w:t>Il résulte de ce qui précède que le grief des recourants relatif à la prétendue irrecevabilité des conclusions de la demanderesse tendant au paiement en ses mains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